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CF69" w14:textId="03FFC0A5" w:rsidR="004E4750" w:rsidRPr="000C5E11" w:rsidRDefault="0061366C" w:rsidP="004E4750">
      <w:pPr>
        <w:spacing w:line="480" w:lineRule="auto"/>
        <w:jc w:val="center"/>
        <w:rPr>
          <w:sz w:val="24"/>
          <w:szCs w:val="24"/>
        </w:rPr>
      </w:pPr>
      <w:r w:rsidRPr="00501201">
        <w:rPr>
          <w:b/>
          <w:bCs/>
          <w:sz w:val="24"/>
          <w:szCs w:val="24"/>
        </w:rPr>
        <w:t>Admission of Learners to Public Schools Regulations (Notice 3415/2025)</w:t>
      </w:r>
      <w:r w:rsidR="004E4750">
        <w:rPr>
          <w:b/>
          <w:bCs/>
          <w:sz w:val="24"/>
          <w:szCs w:val="24"/>
        </w:rPr>
        <w:t xml:space="preserve"> </w:t>
      </w:r>
    </w:p>
    <w:p w14:paraId="0894C5FD" w14:textId="77777777" w:rsidR="004E4750" w:rsidRPr="000C5E11" w:rsidRDefault="004E4750" w:rsidP="004E4750">
      <w:pPr>
        <w:spacing w:line="480" w:lineRule="auto"/>
        <w:jc w:val="center"/>
        <w:rPr>
          <w:sz w:val="24"/>
          <w:szCs w:val="24"/>
        </w:rPr>
      </w:pPr>
      <w:r w:rsidRPr="000C5E11">
        <w:rPr>
          <w:sz w:val="24"/>
          <w:szCs w:val="24"/>
        </w:rPr>
        <w:t>Government Gazette No. 53119-Published 6 August 2025.</w:t>
      </w:r>
    </w:p>
    <w:p w14:paraId="6DBAEDD1" w14:textId="4E7C4264" w:rsidR="0061366C" w:rsidRPr="00501201" w:rsidRDefault="0061366C" w:rsidP="0061366C">
      <w:pPr>
        <w:spacing w:line="480" w:lineRule="auto"/>
        <w:jc w:val="center"/>
        <w:rPr>
          <w:b/>
          <w:bCs/>
          <w:sz w:val="24"/>
          <w:szCs w:val="24"/>
        </w:rPr>
      </w:pPr>
    </w:p>
    <w:p w14:paraId="3742510E" w14:textId="77777777" w:rsidR="0061366C" w:rsidRPr="00501201" w:rsidRDefault="0061366C" w:rsidP="0061366C">
      <w:pPr>
        <w:spacing w:line="480" w:lineRule="auto"/>
        <w:jc w:val="center"/>
        <w:rPr>
          <w:b/>
          <w:bCs/>
          <w:sz w:val="24"/>
          <w:szCs w:val="24"/>
        </w:rPr>
      </w:pPr>
      <w:r w:rsidRPr="00501201">
        <w:rPr>
          <w:b/>
          <w:bCs/>
          <w:sz w:val="24"/>
          <w:szCs w:val="24"/>
        </w:rPr>
        <w:t>Comment Form:</w:t>
      </w:r>
    </w:p>
    <w:p w14:paraId="062C4FBF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</w:p>
    <w:p w14:paraId="6CFBF4B4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  <w:r w:rsidRPr="00501201">
        <w:rPr>
          <w:sz w:val="24"/>
          <w:szCs w:val="24"/>
        </w:rPr>
        <w:t>Name:</w:t>
      </w:r>
    </w:p>
    <w:p w14:paraId="18E77E93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  <w:r w:rsidRPr="00501201">
        <w:rPr>
          <w:sz w:val="24"/>
          <w:szCs w:val="24"/>
        </w:rPr>
        <w:t>Town/Province:</w:t>
      </w:r>
    </w:p>
    <w:p w14:paraId="03EF9783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  <w:r w:rsidRPr="00501201">
        <w:rPr>
          <w:sz w:val="24"/>
          <w:szCs w:val="24"/>
        </w:rPr>
        <w:t>Contact (optional):</w:t>
      </w:r>
    </w:p>
    <w:p w14:paraId="1994225B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  <w:r w:rsidRPr="00501201">
        <w:rPr>
          <w:sz w:val="24"/>
          <w:szCs w:val="24"/>
        </w:rPr>
        <w:t>Role (tick one):</w:t>
      </w:r>
    </w:p>
    <w:p w14:paraId="62F6C583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Parent</w:t>
      </w:r>
    </w:p>
    <w:p w14:paraId="3004253B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Learner</w:t>
      </w:r>
    </w:p>
    <w:p w14:paraId="2A151ED4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Teacher</w:t>
      </w:r>
    </w:p>
    <w:p w14:paraId="074C6F0E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ab/>
        <w:t>Community Leader</w:t>
      </w:r>
    </w:p>
    <w:p w14:paraId="1A4D1CDE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School Governing Body Member</w:t>
      </w:r>
    </w:p>
    <w:p w14:paraId="1B592DA5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Concerned Citizen</w:t>
      </w:r>
    </w:p>
    <w:p w14:paraId="4738C0DF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Representative of Organisation — Organisation Name:</w:t>
      </w:r>
    </w:p>
    <w:p w14:paraId="674C121C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</w:p>
    <w:p w14:paraId="6C5FB9F9" w14:textId="77777777" w:rsidR="0061366C" w:rsidRPr="00501201" w:rsidRDefault="0061366C" w:rsidP="0061366C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  <w:bCs/>
          <w:sz w:val="24"/>
          <w:szCs w:val="24"/>
        </w:rPr>
      </w:pPr>
      <w:r w:rsidRPr="00501201">
        <w:rPr>
          <w:b/>
          <w:bCs/>
          <w:sz w:val="24"/>
          <w:szCs w:val="24"/>
        </w:rPr>
        <w:lastRenderedPageBreak/>
        <w:t>My Position</w:t>
      </w:r>
    </w:p>
    <w:p w14:paraId="2F6E84B0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I support the regulations as they are.</w:t>
      </w:r>
    </w:p>
    <w:p w14:paraId="3DE517E6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I have concerns about the regulations (see below).</w:t>
      </w:r>
    </w:p>
    <w:p w14:paraId="18D2A2BB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</w:p>
    <w:p w14:paraId="63B9A10B" w14:textId="77777777" w:rsidR="0061366C" w:rsidRPr="00501201" w:rsidRDefault="0061366C" w:rsidP="0061366C">
      <w:pPr>
        <w:spacing w:line="480" w:lineRule="auto"/>
        <w:ind w:left="360" w:hanging="360"/>
        <w:rPr>
          <w:b/>
          <w:bCs/>
          <w:sz w:val="24"/>
          <w:szCs w:val="24"/>
        </w:rPr>
      </w:pPr>
      <w:r w:rsidRPr="00501201">
        <w:rPr>
          <w:b/>
          <w:bCs/>
          <w:sz w:val="24"/>
          <w:szCs w:val="24"/>
        </w:rPr>
        <w:t xml:space="preserve">2. </w:t>
      </w:r>
      <w:r w:rsidRPr="00501201">
        <w:rPr>
          <w:b/>
          <w:bCs/>
          <w:sz w:val="24"/>
          <w:szCs w:val="24"/>
        </w:rPr>
        <w:tab/>
        <w:t>Main Concerns (tick all that apply)</w:t>
      </w:r>
    </w:p>
    <w:p w14:paraId="63641D47" w14:textId="77777777" w:rsidR="0061366C" w:rsidRPr="00501201" w:rsidRDefault="0061366C" w:rsidP="0061366C">
      <w:pPr>
        <w:spacing w:line="480" w:lineRule="auto"/>
        <w:rPr>
          <w:sz w:val="24"/>
          <w:szCs w:val="24"/>
          <w:u w:val="single"/>
        </w:rPr>
      </w:pPr>
      <w:r w:rsidRPr="00501201">
        <w:rPr>
          <w:sz w:val="24"/>
          <w:szCs w:val="24"/>
          <w:u w:val="single"/>
        </w:rPr>
        <w:t>Procedural Issues</w:t>
      </w:r>
    </w:p>
    <w:p w14:paraId="12C4176B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The notice was only published in English — it should also be in other official languages and in Khoi and San languages.</w:t>
      </w:r>
    </w:p>
    <w:p w14:paraId="07C3298F" w14:textId="77777777" w:rsidR="0061366C" w:rsidRDefault="0061366C" w:rsidP="0061366C">
      <w:pPr>
        <w:spacing w:line="480" w:lineRule="auto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The notice is not accessible to blind, deaf, or illiterate people.</w:t>
      </w:r>
    </w:p>
    <w:p w14:paraId="651E0393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  <w:t>The notice is silent on how compliance with Section 6 of the National Health Act will be complied with.</w:t>
      </w:r>
    </w:p>
    <w:p w14:paraId="4B7C1A2F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</w:p>
    <w:p w14:paraId="7305599C" w14:textId="77777777" w:rsidR="0061366C" w:rsidRPr="00501201" w:rsidRDefault="0061366C" w:rsidP="0061366C">
      <w:pPr>
        <w:spacing w:line="480" w:lineRule="auto"/>
        <w:rPr>
          <w:sz w:val="24"/>
          <w:szCs w:val="24"/>
          <w:u w:val="single"/>
        </w:rPr>
      </w:pPr>
      <w:r w:rsidRPr="00501201">
        <w:rPr>
          <w:sz w:val="24"/>
          <w:szCs w:val="24"/>
          <w:u w:val="single"/>
        </w:rPr>
        <w:t>Substantive Issues</w:t>
      </w:r>
    </w:p>
    <w:p w14:paraId="2F4B9C06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No child should be denied the right to education because of missing vaccination proof.</w:t>
      </w:r>
    </w:p>
    <w:p w14:paraId="02AD70D1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The exemption process for religious/cultural beliefs is too strict.</w:t>
      </w:r>
    </w:p>
    <w:p w14:paraId="52CDC536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 xml:space="preserve">Only HPCSA-registered practitioners are authorised to </w:t>
      </w:r>
      <w:r>
        <w:rPr>
          <w:sz w:val="24"/>
          <w:szCs w:val="24"/>
        </w:rPr>
        <w:t xml:space="preserve">supply a medical diagnosis accompanying a </w:t>
      </w:r>
      <w:r w:rsidRPr="00501201">
        <w:rPr>
          <w:sz w:val="24"/>
          <w:szCs w:val="24"/>
        </w:rPr>
        <w:t>medical motivation</w:t>
      </w:r>
      <w:r>
        <w:rPr>
          <w:sz w:val="24"/>
          <w:szCs w:val="24"/>
        </w:rPr>
        <w:t xml:space="preserve"> in support of an exemption</w:t>
      </w:r>
      <w:r w:rsidRPr="00501201">
        <w:rPr>
          <w:sz w:val="24"/>
          <w:szCs w:val="24"/>
        </w:rPr>
        <w:t>, while other recognised health professionals like traditional healers and naturopaths are excluded.</w:t>
      </w:r>
    </w:p>
    <w:p w14:paraId="3B1386CE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lastRenderedPageBreak/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 xml:space="preserve">Informed </w:t>
      </w:r>
      <w:r>
        <w:rPr>
          <w:sz w:val="24"/>
          <w:szCs w:val="24"/>
        </w:rPr>
        <w:t xml:space="preserve">choice and </w:t>
      </w:r>
      <w:r w:rsidRPr="00501201">
        <w:rPr>
          <w:sz w:val="24"/>
          <w:szCs w:val="24"/>
        </w:rPr>
        <w:t xml:space="preserve">consent </w:t>
      </w:r>
      <w:proofErr w:type="gramStart"/>
      <w:r w:rsidRPr="00501201">
        <w:rPr>
          <w:sz w:val="24"/>
          <w:szCs w:val="24"/>
        </w:rPr>
        <w:t>is</w:t>
      </w:r>
      <w:proofErr w:type="gramEnd"/>
      <w:r w:rsidRPr="00501201">
        <w:rPr>
          <w:sz w:val="24"/>
          <w:szCs w:val="24"/>
        </w:rPr>
        <w:t xml:space="preserve"> not mentioned, parents must be given full information before deciding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  children</w:t>
      </w:r>
      <w:proofErr w:type="gramEnd"/>
      <w:r>
        <w:rPr>
          <w:sz w:val="24"/>
          <w:szCs w:val="24"/>
        </w:rPr>
        <w:t xml:space="preserve"> must be afforded the full protection of Section 6 of the National Health Act</w:t>
      </w:r>
      <w:r w:rsidRPr="00501201">
        <w:rPr>
          <w:sz w:val="24"/>
          <w:szCs w:val="24"/>
        </w:rPr>
        <w:t>.</w:t>
      </w:r>
    </w:p>
    <w:p w14:paraId="2FE1BAFF" w14:textId="77777777" w:rsidR="00434B39" w:rsidRDefault="0061366C" w:rsidP="00434B39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 xml:space="preserve">The Head of Department is not a medical expert but is given the final say on medical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issues</w:t>
      </w:r>
      <w:r w:rsidRPr="00501201">
        <w:rPr>
          <w:sz w:val="24"/>
          <w:szCs w:val="24"/>
        </w:rPr>
        <w:t>.</w:t>
      </w:r>
    </w:p>
    <w:p w14:paraId="2B7C5D86" w14:textId="77777777" w:rsidR="00434B39" w:rsidRDefault="00434B39" w:rsidP="00434B39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="00615E43" w:rsidRPr="00434B39">
        <w:rPr>
          <w:lang w:val="en-US"/>
        </w:rPr>
        <w:t>Section 9 of the draft regulations says a learner may not be refused admission on grounds such as religion, conscience, belief, culture, or illness.</w:t>
      </w:r>
    </w:p>
    <w:p w14:paraId="3D5591B7" w14:textId="77777777" w:rsidR="00434B39" w:rsidRDefault="00434B39" w:rsidP="00434B39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="00615E43" w:rsidRPr="00E9502B">
        <w:rPr>
          <w:lang w:val="en-US"/>
        </w:rPr>
        <w:t>Section 10 says that once admitted, a learner cannot be excluded from the school programme for reasons related to cultural beliefs, religious observances, medical circumstances, or other reasonable grounds.</w:t>
      </w:r>
    </w:p>
    <w:p w14:paraId="6CC8D911" w14:textId="77777777" w:rsidR="00434B39" w:rsidRDefault="00434B39" w:rsidP="00434B39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="00615E43" w:rsidRPr="00E9502B">
        <w:rPr>
          <w:lang w:val="en-US"/>
        </w:rPr>
        <w:t xml:space="preserve">However, Regulation 14 introduces a “no </w:t>
      </w:r>
      <w:proofErr w:type="spellStart"/>
      <w:r w:rsidR="00615E43" w:rsidRPr="00E9502B">
        <w:rPr>
          <w:lang w:val="en-US"/>
        </w:rPr>
        <w:t>immunisation</w:t>
      </w:r>
      <w:proofErr w:type="spellEnd"/>
      <w:r w:rsidR="00615E43" w:rsidRPr="00E9502B">
        <w:rPr>
          <w:lang w:val="en-US"/>
        </w:rPr>
        <w:t xml:space="preserve">, no admission” rule which would deny admission </w:t>
      </w:r>
      <w:r w:rsidR="00615E43">
        <w:rPr>
          <w:lang w:val="en-US"/>
        </w:rPr>
        <w:t xml:space="preserve">or continued attendance at the school, </w:t>
      </w:r>
      <w:r w:rsidR="00615E43" w:rsidRPr="00E9502B">
        <w:rPr>
          <w:lang w:val="en-US"/>
        </w:rPr>
        <w:t>to learners who have not been vaccinated, even if this is due to religious beliefs, cultural practices, or medical circumstances.</w:t>
      </w:r>
    </w:p>
    <w:p w14:paraId="50D1B9B0" w14:textId="77777777" w:rsidR="0076150A" w:rsidRDefault="00434B39" w:rsidP="0076150A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="00615E43" w:rsidRPr="00E9502B">
        <w:rPr>
          <w:lang w:val="en-US"/>
        </w:rPr>
        <w:t xml:space="preserve">Sections 9 and 10 prohibit discrimination based on these </w:t>
      </w:r>
      <w:proofErr w:type="spellStart"/>
      <w:proofErr w:type="gramStart"/>
      <w:r w:rsidR="00615E43" w:rsidRPr="00E9502B">
        <w:rPr>
          <w:lang w:val="en-US"/>
        </w:rPr>
        <w:t>factors.Regulation</w:t>
      </w:r>
      <w:proofErr w:type="spellEnd"/>
      <w:proofErr w:type="gramEnd"/>
      <w:r w:rsidR="00615E43" w:rsidRPr="00E9502B">
        <w:rPr>
          <w:lang w:val="en-US"/>
        </w:rPr>
        <w:t xml:space="preserve"> 14 allows exactly that kind of discrimination.</w:t>
      </w:r>
    </w:p>
    <w:p w14:paraId="393C8929" w14:textId="77777777" w:rsidR="0076150A" w:rsidRDefault="0076150A" w:rsidP="0076150A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="00615E43" w:rsidRPr="00E9502B">
        <w:rPr>
          <w:lang w:val="en-US"/>
        </w:rPr>
        <w:t>It makes the regulations inconsistent and confusing.</w:t>
      </w:r>
    </w:p>
    <w:p w14:paraId="534EDC1E" w14:textId="3B254B37" w:rsidR="00615E43" w:rsidRPr="00E9502B" w:rsidRDefault="0076150A" w:rsidP="0076150A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="00615E43" w:rsidRPr="00E9502B">
        <w:rPr>
          <w:lang w:val="en-US"/>
        </w:rPr>
        <w:t xml:space="preserve">It could cause school officials to break one part of the regulations </w:t>
      </w:r>
      <w:proofErr w:type="gramStart"/>
      <w:r w:rsidR="00615E43" w:rsidRPr="00E9502B">
        <w:rPr>
          <w:lang w:val="en-US"/>
        </w:rPr>
        <w:t>in order to</w:t>
      </w:r>
      <w:proofErr w:type="gramEnd"/>
      <w:r w:rsidR="00615E43" w:rsidRPr="00E9502B">
        <w:rPr>
          <w:lang w:val="en-US"/>
        </w:rPr>
        <w:t xml:space="preserve"> follow another.</w:t>
      </w:r>
    </w:p>
    <w:p w14:paraId="3E9613F7" w14:textId="04D30F66" w:rsidR="004064C4" w:rsidRPr="00501201" w:rsidRDefault="004064C4" w:rsidP="0061366C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Pr="004064C4">
        <w:rPr>
          <w:sz w:val="24"/>
          <w:szCs w:val="24"/>
        </w:rPr>
        <w:t>Section 22 gives School Governing Bodies (SGBs) jobs they are not meant to do</w:t>
      </w:r>
      <w:r>
        <w:rPr>
          <w:sz w:val="24"/>
          <w:szCs w:val="24"/>
        </w:rPr>
        <w:t>,</w:t>
      </w:r>
      <w:r w:rsidRPr="004064C4">
        <w:rPr>
          <w:sz w:val="24"/>
          <w:szCs w:val="24"/>
        </w:rPr>
        <w:t xml:space="preserve"> checking vaccination records, deciding on exemptions, and enforcing health rules is </w:t>
      </w:r>
      <w:r w:rsidR="00151143">
        <w:rPr>
          <w:sz w:val="24"/>
          <w:szCs w:val="24"/>
        </w:rPr>
        <w:t xml:space="preserve">not </w:t>
      </w:r>
      <w:r w:rsidRPr="004064C4">
        <w:rPr>
          <w:sz w:val="24"/>
          <w:szCs w:val="24"/>
        </w:rPr>
        <w:t>the job of parents and teachers serving voluntarily on SGBs.</w:t>
      </w:r>
    </w:p>
    <w:p w14:paraId="64E39162" w14:textId="77777777" w:rsidR="00240203" w:rsidRDefault="00240203" w:rsidP="0061366C">
      <w:pPr>
        <w:spacing w:line="480" w:lineRule="auto"/>
        <w:rPr>
          <w:b/>
          <w:bCs/>
          <w:sz w:val="24"/>
          <w:szCs w:val="24"/>
        </w:rPr>
      </w:pPr>
    </w:p>
    <w:p w14:paraId="3BA4583B" w14:textId="19BC3901" w:rsidR="0061366C" w:rsidRPr="00BC7A7D" w:rsidRDefault="0061366C" w:rsidP="0061366C">
      <w:pPr>
        <w:spacing w:line="480" w:lineRule="auto"/>
        <w:rPr>
          <w:b/>
          <w:bCs/>
          <w:sz w:val="24"/>
          <w:szCs w:val="24"/>
        </w:rPr>
      </w:pPr>
      <w:r w:rsidRPr="00BC7A7D">
        <w:rPr>
          <w:b/>
          <w:bCs/>
          <w:sz w:val="24"/>
          <w:szCs w:val="24"/>
        </w:rPr>
        <w:t>3. My Suggestions</w:t>
      </w:r>
    </w:p>
    <w:p w14:paraId="2AD99C9D" w14:textId="77777777" w:rsidR="0061366C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C165B7">
        <w:rPr>
          <w:sz w:val="24"/>
          <w:szCs w:val="24"/>
        </w:rPr>
        <w:t xml:space="preserve">[ </w:t>
      </w:r>
      <w:proofErr w:type="gramStart"/>
      <w:r w:rsidRPr="00C165B7">
        <w:rPr>
          <w:sz w:val="24"/>
          <w:szCs w:val="24"/>
        </w:rPr>
        <w:t xml:space="preserve">  ]</w:t>
      </w:r>
      <w:proofErr w:type="gramEnd"/>
      <w:r w:rsidRPr="00C165B7">
        <w:rPr>
          <w:sz w:val="24"/>
          <w:szCs w:val="24"/>
        </w:rPr>
        <w:t xml:space="preserve"> </w:t>
      </w:r>
      <w:r w:rsidRPr="00C165B7">
        <w:rPr>
          <w:sz w:val="24"/>
          <w:szCs w:val="24"/>
        </w:rPr>
        <w:tab/>
        <w:t xml:space="preserve">Translate notices into all official languages, including Khoi and San languages. </w:t>
      </w:r>
    </w:p>
    <w:p w14:paraId="7959E9F4" w14:textId="77777777" w:rsidR="0061366C" w:rsidRDefault="0061366C" w:rsidP="0061366C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Pr="00C165B7">
        <w:rPr>
          <w:sz w:val="24"/>
          <w:szCs w:val="24"/>
        </w:rPr>
        <w:t>P</w:t>
      </w:r>
      <w:r w:rsidRPr="008569DF">
        <w:rPr>
          <w:sz w:val="24"/>
          <w:szCs w:val="24"/>
        </w:rPr>
        <w:t xml:space="preserve">rovide accessible formats </w:t>
      </w:r>
      <w:r>
        <w:rPr>
          <w:sz w:val="24"/>
          <w:szCs w:val="24"/>
        </w:rPr>
        <w:t xml:space="preserve">for the blind, deaf and illiterate. </w:t>
      </w:r>
      <w:r w:rsidRPr="008569DF">
        <w:rPr>
          <w:sz w:val="24"/>
          <w:szCs w:val="24"/>
        </w:rPr>
        <w:t xml:space="preserve">(Braille and audio, sign language, simple language). </w:t>
      </w:r>
    </w:p>
    <w:p w14:paraId="09713B51" w14:textId="77777777" w:rsidR="0061366C" w:rsidRPr="005E356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E3561">
        <w:rPr>
          <w:sz w:val="24"/>
          <w:szCs w:val="24"/>
        </w:rPr>
        <w:t xml:space="preserve">[ </w:t>
      </w:r>
      <w:proofErr w:type="gramStart"/>
      <w:r w:rsidRPr="005E3561">
        <w:rPr>
          <w:sz w:val="24"/>
          <w:szCs w:val="24"/>
        </w:rPr>
        <w:t xml:space="preserve">  ]</w:t>
      </w:r>
      <w:proofErr w:type="gramEnd"/>
      <w:r w:rsidRPr="005E3561">
        <w:rPr>
          <w:sz w:val="24"/>
          <w:szCs w:val="24"/>
        </w:rPr>
        <w:tab/>
        <w:t xml:space="preserve">Hold community engagement sessions (imbizos). </w:t>
      </w:r>
    </w:p>
    <w:p w14:paraId="57FD47B3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Don’t involve HODs in anything to do with medical analysis or medically related decisions.</w:t>
      </w:r>
    </w:p>
    <w:p w14:paraId="2AB47D7D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Accept exemptions from all legally recognised health practitioners.</w:t>
      </w:r>
    </w:p>
    <w:p w14:paraId="693EE79E" w14:textId="77777777" w:rsidR="0061366C" w:rsidRPr="00501201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Don’t involve HOD</w:t>
      </w:r>
      <w:r>
        <w:rPr>
          <w:sz w:val="24"/>
          <w:szCs w:val="24"/>
        </w:rPr>
        <w:t>s</w:t>
      </w:r>
      <w:r w:rsidRPr="00501201">
        <w:rPr>
          <w:sz w:val="24"/>
          <w:szCs w:val="24"/>
        </w:rPr>
        <w:t xml:space="preserve"> in decisions related to religious and cultural beliefs</w:t>
      </w:r>
      <w:r>
        <w:rPr>
          <w:sz w:val="24"/>
          <w:szCs w:val="24"/>
        </w:rPr>
        <w:t xml:space="preserve"> and practices</w:t>
      </w:r>
      <w:r w:rsidRPr="00501201">
        <w:rPr>
          <w:sz w:val="24"/>
          <w:szCs w:val="24"/>
        </w:rPr>
        <w:t>.</w:t>
      </w:r>
    </w:p>
    <w:p w14:paraId="2D4895FB" w14:textId="77777777" w:rsidR="0061366C" w:rsidRDefault="0061366C" w:rsidP="0061366C">
      <w:pPr>
        <w:spacing w:line="480" w:lineRule="auto"/>
        <w:ind w:left="360" w:hanging="360"/>
        <w:rPr>
          <w:sz w:val="24"/>
          <w:szCs w:val="24"/>
        </w:rPr>
      </w:pPr>
      <w:r w:rsidRPr="00501201">
        <w:rPr>
          <w:sz w:val="24"/>
          <w:szCs w:val="24"/>
        </w:rPr>
        <w:t xml:space="preserve">[ </w:t>
      </w:r>
      <w:proofErr w:type="gramStart"/>
      <w:r w:rsidRPr="00501201">
        <w:rPr>
          <w:sz w:val="24"/>
          <w:szCs w:val="24"/>
        </w:rPr>
        <w:t xml:space="preserve">  ]</w:t>
      </w:r>
      <w:proofErr w:type="gramEnd"/>
      <w:r w:rsidRPr="00501201">
        <w:rPr>
          <w:sz w:val="24"/>
          <w:szCs w:val="24"/>
        </w:rPr>
        <w:t xml:space="preserve"> </w:t>
      </w:r>
      <w:r w:rsidRPr="00501201">
        <w:rPr>
          <w:sz w:val="24"/>
          <w:szCs w:val="24"/>
        </w:rPr>
        <w:tab/>
        <w:t>Ensure informed consent in line with the National Health Act.</w:t>
      </w:r>
    </w:p>
    <w:p w14:paraId="54AE8225" w14:textId="77777777" w:rsidR="0061366C" w:rsidRDefault="0061366C" w:rsidP="0061366C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Pr="00EA1EAC">
        <w:rPr>
          <w:sz w:val="24"/>
          <w:szCs w:val="24"/>
          <w:lang w:val="en-US"/>
        </w:rPr>
        <w:t>Amend the regulation to explicitly require vaccine-specific informed consent in line with Section 6 of the National Health Act.</w:t>
      </w:r>
    </w:p>
    <w:p w14:paraId="45C3959D" w14:textId="77777777" w:rsidR="0061366C" w:rsidRDefault="0061366C" w:rsidP="0061366C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Pr="00EA1EAC">
        <w:rPr>
          <w:sz w:val="24"/>
          <w:szCs w:val="24"/>
          <w:lang w:val="en-US"/>
        </w:rPr>
        <w:t>Provide full ingredient lists and contraindications for each vaccine in official notices, in languages or means accessible to each parent.</w:t>
      </w:r>
    </w:p>
    <w:p w14:paraId="7B4F8F82" w14:textId="77777777" w:rsidR="0061366C" w:rsidRDefault="0061366C" w:rsidP="0061366C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Pr="00EA1EAC">
        <w:rPr>
          <w:sz w:val="24"/>
          <w:szCs w:val="24"/>
          <w:lang w:val="en-US"/>
        </w:rPr>
        <w:t>Require individual consent for each vaccine rather than blanket acceptance of all six.</w:t>
      </w:r>
    </w:p>
    <w:p w14:paraId="36416883" w14:textId="77777777" w:rsidR="0061366C" w:rsidRDefault="0061366C" w:rsidP="0061366C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ab/>
      </w:r>
      <w:r w:rsidRPr="00EA1EAC">
        <w:rPr>
          <w:sz w:val="24"/>
          <w:szCs w:val="24"/>
          <w:lang w:val="en-US"/>
        </w:rPr>
        <w:t>Provide parents with written information sheets prior to any vaccination requirement.</w:t>
      </w:r>
    </w:p>
    <w:p w14:paraId="06532DDA" w14:textId="77777777" w:rsidR="0061366C" w:rsidRDefault="0061366C" w:rsidP="0061366C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[ </w:t>
      </w:r>
      <w:proofErr w:type="gramStart"/>
      <w:r>
        <w:rPr>
          <w:sz w:val="24"/>
          <w:szCs w:val="24"/>
          <w:lang w:val="en-US"/>
        </w:rPr>
        <w:t xml:space="preserve">  ]</w:t>
      </w:r>
      <w:proofErr w:type="gramEnd"/>
      <w:r>
        <w:rPr>
          <w:sz w:val="24"/>
          <w:szCs w:val="24"/>
          <w:lang w:val="en-US"/>
        </w:rPr>
        <w:tab/>
      </w:r>
      <w:r w:rsidRPr="00E9502B">
        <w:rPr>
          <w:lang w:val="en-US"/>
        </w:rPr>
        <w:t xml:space="preserve">Remove the “no </w:t>
      </w:r>
      <w:proofErr w:type="spellStart"/>
      <w:r w:rsidRPr="00E9502B">
        <w:rPr>
          <w:lang w:val="en-US"/>
        </w:rPr>
        <w:t>immunisation</w:t>
      </w:r>
      <w:proofErr w:type="spellEnd"/>
      <w:r w:rsidRPr="00E9502B">
        <w:rPr>
          <w:lang w:val="en-US"/>
        </w:rPr>
        <w:t>, no admission” rule in Regulation 14 so that it does not conflict with Sections 9 and 10.</w:t>
      </w:r>
    </w:p>
    <w:p w14:paraId="277AD99C" w14:textId="77777777" w:rsidR="006504D7" w:rsidRDefault="0061366C" w:rsidP="006504D7">
      <w:pPr>
        <w:spacing w:line="480" w:lineRule="auto"/>
        <w:ind w:left="360" w:hanging="360"/>
        <w:rPr>
          <w:lang w:val="en-US"/>
        </w:rPr>
      </w:pPr>
      <w:r>
        <w:rPr>
          <w:sz w:val="24"/>
          <w:szCs w:val="24"/>
          <w:lang w:val="en-US"/>
        </w:rPr>
        <w:lastRenderedPageBreak/>
        <w:t xml:space="preserve">[ </w:t>
      </w:r>
      <w:proofErr w:type="gramStart"/>
      <w:r>
        <w:rPr>
          <w:sz w:val="24"/>
          <w:szCs w:val="24"/>
          <w:lang w:val="en-US"/>
        </w:rPr>
        <w:t xml:space="preserve">  ]</w:t>
      </w:r>
      <w:proofErr w:type="gramEnd"/>
      <w:r>
        <w:rPr>
          <w:sz w:val="24"/>
          <w:szCs w:val="24"/>
          <w:lang w:val="en-US"/>
        </w:rPr>
        <w:tab/>
      </w:r>
      <w:r w:rsidRPr="00E9502B">
        <w:rPr>
          <w:lang w:val="en-US"/>
        </w:rPr>
        <w:t>Ensure that any health-related requirements are applied in a way that respects the protections against discrimination already contained in the regulations</w:t>
      </w:r>
      <w:r>
        <w:rPr>
          <w:lang w:val="en-US"/>
        </w:rPr>
        <w:t>, which aspect is in keeping with the constitution</w:t>
      </w:r>
      <w:r w:rsidRPr="00E9502B">
        <w:rPr>
          <w:lang w:val="en-US"/>
        </w:rPr>
        <w:t>.</w:t>
      </w:r>
    </w:p>
    <w:p w14:paraId="25377A9D" w14:textId="3ACE0150" w:rsidR="006504D7" w:rsidRPr="009C5621" w:rsidRDefault="007928E8" w:rsidP="006504D7">
      <w:pPr>
        <w:spacing w:line="480" w:lineRule="auto"/>
        <w:ind w:left="360" w:hanging="360"/>
        <w:rPr>
          <w:lang w:val="en-US"/>
        </w:rPr>
      </w:pPr>
      <w:r>
        <w:rPr>
          <w:lang w:val="en-US"/>
        </w:rPr>
        <w:t xml:space="preserve">[ </w:t>
      </w:r>
      <w:proofErr w:type="gramStart"/>
      <w:r>
        <w:rPr>
          <w:lang w:val="en-US"/>
        </w:rPr>
        <w:t xml:space="preserve">  ]</w:t>
      </w:r>
      <w:proofErr w:type="gramEnd"/>
      <w:r>
        <w:rPr>
          <w:lang w:val="en-US"/>
        </w:rPr>
        <w:tab/>
      </w:r>
      <w:r w:rsidR="006504D7" w:rsidRPr="009C5621">
        <w:rPr>
          <w:lang w:val="en-US"/>
        </w:rPr>
        <w:t>Remove Section 22 of the regulations. SGBs should not be the ones enforcing these rules.</w:t>
      </w:r>
    </w:p>
    <w:p w14:paraId="291C0447" w14:textId="77777777" w:rsidR="00240203" w:rsidRDefault="00240203" w:rsidP="0061366C">
      <w:pPr>
        <w:spacing w:line="480" w:lineRule="auto"/>
        <w:rPr>
          <w:sz w:val="24"/>
          <w:szCs w:val="24"/>
        </w:rPr>
      </w:pPr>
    </w:p>
    <w:p w14:paraId="084B425B" w14:textId="2BA9B89C" w:rsidR="0061366C" w:rsidRPr="00501201" w:rsidRDefault="0061366C" w:rsidP="0061366C">
      <w:pPr>
        <w:spacing w:line="480" w:lineRule="auto"/>
        <w:rPr>
          <w:sz w:val="24"/>
          <w:szCs w:val="24"/>
        </w:rPr>
      </w:pPr>
      <w:r w:rsidRPr="00501201">
        <w:rPr>
          <w:sz w:val="24"/>
          <w:szCs w:val="24"/>
        </w:rPr>
        <w:t>4. My Additional Comments / Personal Experience</w:t>
      </w:r>
    </w:p>
    <w:p w14:paraId="4A3D533B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</w:p>
    <w:p w14:paraId="2DAEE4C9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</w:p>
    <w:p w14:paraId="298BD181" w14:textId="77777777" w:rsidR="0061366C" w:rsidRPr="00501201" w:rsidRDefault="0061366C" w:rsidP="0061366C">
      <w:pPr>
        <w:spacing w:line="480" w:lineRule="auto"/>
        <w:rPr>
          <w:sz w:val="24"/>
          <w:szCs w:val="24"/>
        </w:rPr>
      </w:pPr>
    </w:p>
    <w:p w14:paraId="2531EBE5" w14:textId="77777777" w:rsidR="00065D1F" w:rsidRDefault="0061366C" w:rsidP="0061366C">
      <w:pPr>
        <w:spacing w:line="480" w:lineRule="auto"/>
        <w:rPr>
          <w:sz w:val="24"/>
          <w:szCs w:val="24"/>
        </w:rPr>
      </w:pPr>
      <w:r w:rsidRPr="00501201">
        <w:rPr>
          <w:sz w:val="24"/>
          <w:szCs w:val="24"/>
        </w:rPr>
        <w:t xml:space="preserve">Signature: </w:t>
      </w:r>
    </w:p>
    <w:p w14:paraId="73F11D93" w14:textId="07337DD2" w:rsidR="0061366C" w:rsidRPr="00501201" w:rsidRDefault="0061366C" w:rsidP="0061366C">
      <w:pPr>
        <w:spacing w:line="480" w:lineRule="auto"/>
        <w:rPr>
          <w:sz w:val="24"/>
          <w:szCs w:val="24"/>
        </w:rPr>
      </w:pPr>
      <w:r w:rsidRPr="00501201">
        <w:rPr>
          <w:sz w:val="24"/>
          <w:szCs w:val="24"/>
        </w:rPr>
        <w:t>Date:</w:t>
      </w:r>
    </w:p>
    <w:sectPr w:rsidR="0061366C" w:rsidRPr="00501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1A"/>
    <w:multiLevelType w:val="hybridMultilevel"/>
    <w:tmpl w:val="4D201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7D30"/>
    <w:multiLevelType w:val="multilevel"/>
    <w:tmpl w:val="7B3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A4DA5"/>
    <w:multiLevelType w:val="hybridMultilevel"/>
    <w:tmpl w:val="AB902E2A"/>
    <w:lvl w:ilvl="0" w:tplc="26EA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406324">
    <w:abstractNumId w:val="2"/>
  </w:num>
  <w:num w:numId="2" w16cid:durableId="574322591">
    <w:abstractNumId w:val="1"/>
  </w:num>
  <w:num w:numId="3" w16cid:durableId="202948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6C"/>
    <w:rsid w:val="00065D1F"/>
    <w:rsid w:val="000B16D3"/>
    <w:rsid w:val="00151143"/>
    <w:rsid w:val="00240203"/>
    <w:rsid w:val="002F022D"/>
    <w:rsid w:val="004064C4"/>
    <w:rsid w:val="00434B39"/>
    <w:rsid w:val="004E4750"/>
    <w:rsid w:val="0061366C"/>
    <w:rsid w:val="00615E43"/>
    <w:rsid w:val="006504D7"/>
    <w:rsid w:val="00742623"/>
    <w:rsid w:val="0076150A"/>
    <w:rsid w:val="007928E8"/>
    <w:rsid w:val="008218D2"/>
    <w:rsid w:val="00884F6D"/>
    <w:rsid w:val="00934CE5"/>
    <w:rsid w:val="009C5C40"/>
    <w:rsid w:val="00A271FC"/>
    <w:rsid w:val="00B76AD6"/>
    <w:rsid w:val="00F131EE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12FA"/>
  <w15:chartTrackingRefBased/>
  <w15:docId w15:val="{D191FE0E-9D18-4FD8-87B5-1BD91C3E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6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6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6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66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66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66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66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66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66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66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13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66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66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13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66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13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66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13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 Sibanda</dc:creator>
  <cp:keywords/>
  <dc:description/>
  <cp:lastModifiedBy>Sabelo Sibanda</cp:lastModifiedBy>
  <cp:revision>5</cp:revision>
  <cp:lastPrinted>2025-08-15T22:34:00Z</cp:lastPrinted>
  <dcterms:created xsi:type="dcterms:W3CDTF">2025-08-15T22:33:00Z</dcterms:created>
  <dcterms:modified xsi:type="dcterms:W3CDTF">2025-08-16T06:45:00Z</dcterms:modified>
</cp:coreProperties>
</file>